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71FB" w14:textId="56636795" w:rsidR="00DC26E4" w:rsidRDefault="009A6880" w:rsidP="009A6880">
      <w:pPr>
        <w:jc w:val="center"/>
        <w:rPr>
          <w:b/>
          <w:bCs/>
          <w:u w:val="single"/>
        </w:rPr>
      </w:pPr>
      <w:bookmarkStart w:id="0" w:name="_Hlk35074479"/>
      <w:r>
        <w:rPr>
          <w:b/>
          <w:bCs/>
          <w:u w:val="single"/>
        </w:rPr>
        <w:t xml:space="preserve">Three Inescapable Facets of Christ’s Supremacy which Must Be Heeded </w:t>
      </w:r>
      <w:r w:rsidR="003A559A">
        <w:rPr>
          <w:b/>
          <w:bCs/>
          <w:u w:val="single"/>
        </w:rPr>
        <w:t xml:space="preserve">by All </w:t>
      </w:r>
      <w:r>
        <w:rPr>
          <w:b/>
          <w:bCs/>
          <w:u w:val="single"/>
        </w:rPr>
        <w:t>(John 3:31-36)</w:t>
      </w:r>
    </w:p>
    <w:p w14:paraId="07AEC812" w14:textId="77777777" w:rsidR="00380A0D" w:rsidRPr="009A6880" w:rsidRDefault="00380A0D" w:rsidP="009A6880">
      <w:pPr>
        <w:jc w:val="center"/>
        <w:rPr>
          <w:b/>
          <w:bCs/>
          <w:u w:val="single"/>
        </w:rPr>
      </w:pPr>
    </w:p>
    <w:bookmarkEnd w:id="0"/>
    <w:p w14:paraId="580697EC" w14:textId="5E7BFA56" w:rsidR="006E0697" w:rsidRDefault="006E0697" w:rsidP="006E0697">
      <w:pPr>
        <w:pStyle w:val="ListParagraph"/>
        <w:numPr>
          <w:ilvl w:val="0"/>
          <w:numId w:val="1"/>
        </w:numPr>
        <w:contextualSpacing w:val="0"/>
      </w:pPr>
      <w:r>
        <w:t>The Supremacy of Christ’s Origin (v.31)</w:t>
      </w:r>
    </w:p>
    <w:p w14:paraId="553F9D18" w14:textId="77AA673E" w:rsidR="00055D84" w:rsidRDefault="00830AF7" w:rsidP="00055D84">
      <w:pPr>
        <w:pStyle w:val="ListParagraph"/>
        <w:numPr>
          <w:ilvl w:val="1"/>
          <w:numId w:val="1"/>
        </w:numPr>
        <w:contextualSpacing w:val="0"/>
      </w:pPr>
      <w:r>
        <w:t>Christ’s</w:t>
      </w:r>
      <w:r w:rsidR="00400866">
        <w:t xml:space="preserve"> </w:t>
      </w:r>
      <w:r w:rsidR="006A05B6">
        <w:t>H</w:t>
      </w:r>
      <w:r w:rsidR="00400866">
        <w:t xml:space="preserve">eavenly </w:t>
      </w:r>
      <w:r w:rsidR="006A05B6">
        <w:t>O</w:t>
      </w:r>
      <w:r w:rsidR="00400866">
        <w:t xml:space="preserve">rigin </w:t>
      </w:r>
      <w:r w:rsidR="006A05B6">
        <w:t>I</w:t>
      </w:r>
      <w:r w:rsidR="00400866">
        <w:t>mplies</w:t>
      </w:r>
      <w:r w:rsidR="006A05B6">
        <w:t xml:space="preserve"> that</w:t>
      </w:r>
      <w:r w:rsidR="00400866">
        <w:t xml:space="preserve"> He is </w:t>
      </w:r>
      <w:r w:rsidR="006A05B6">
        <w:t>S</w:t>
      </w:r>
      <w:r w:rsidR="00400866">
        <w:t>upreme</w:t>
      </w:r>
      <w:r w:rsidR="006A05B6">
        <w:t>.</w:t>
      </w:r>
    </w:p>
    <w:p w14:paraId="5F47B713" w14:textId="77777777" w:rsidR="002C1D9C" w:rsidRDefault="002C1D9C" w:rsidP="002C1D9C">
      <w:pPr>
        <w:pStyle w:val="ListParagraph"/>
        <w:ind w:left="1440"/>
        <w:contextualSpacing w:val="0"/>
      </w:pPr>
    </w:p>
    <w:p w14:paraId="40D35E22" w14:textId="406E8A18" w:rsidR="00E0187E" w:rsidRDefault="00400866" w:rsidP="00055D84">
      <w:pPr>
        <w:pStyle w:val="ListParagraph"/>
        <w:numPr>
          <w:ilvl w:val="1"/>
          <w:numId w:val="1"/>
        </w:numPr>
        <w:contextualSpacing w:val="0"/>
      </w:pPr>
      <w:r>
        <w:t xml:space="preserve">Mankind’s </w:t>
      </w:r>
      <w:r w:rsidR="006A05B6">
        <w:t>E</w:t>
      </w:r>
      <w:r>
        <w:t xml:space="preserve">arthly </w:t>
      </w:r>
      <w:r w:rsidR="006A05B6">
        <w:t>Or</w:t>
      </w:r>
      <w:r>
        <w:t xml:space="preserve">igin </w:t>
      </w:r>
      <w:r w:rsidR="006A05B6">
        <w:t>I</w:t>
      </w:r>
      <w:r>
        <w:t>mplies</w:t>
      </w:r>
      <w:r w:rsidR="006A05B6">
        <w:t xml:space="preserve"> that</w:t>
      </w:r>
      <w:r w:rsidR="00380A0D">
        <w:t>:</w:t>
      </w:r>
    </w:p>
    <w:p w14:paraId="05393917" w14:textId="244495D4" w:rsidR="00400866" w:rsidRDefault="00380A0D" w:rsidP="00E0187E">
      <w:pPr>
        <w:pStyle w:val="ListParagraph"/>
        <w:numPr>
          <w:ilvl w:val="2"/>
          <w:numId w:val="1"/>
        </w:numPr>
        <w:contextualSpacing w:val="0"/>
      </w:pPr>
      <w:r>
        <w:t>Mankind</w:t>
      </w:r>
      <w:r w:rsidR="00767A65">
        <w:t>’s nature</w:t>
      </w:r>
      <w:r w:rsidR="00400866">
        <w:t xml:space="preserve"> is limited and finite</w:t>
      </w:r>
    </w:p>
    <w:p w14:paraId="2DF666B7" w14:textId="7928E6AB" w:rsidR="00E0187E" w:rsidRDefault="00380A0D" w:rsidP="00E0187E">
      <w:pPr>
        <w:pStyle w:val="ListParagraph"/>
        <w:numPr>
          <w:ilvl w:val="2"/>
          <w:numId w:val="1"/>
        </w:numPr>
        <w:contextualSpacing w:val="0"/>
      </w:pPr>
      <w:r>
        <w:t>Mankind’s</w:t>
      </w:r>
      <w:r w:rsidR="00E0187E">
        <w:t xml:space="preserve"> speech is limited and finite </w:t>
      </w:r>
      <w:r w:rsidR="00367512">
        <w:t>(cf. Prov. 30:4; Deut. 30:11-14)</w:t>
      </w:r>
    </w:p>
    <w:p w14:paraId="3ECDCAA1" w14:textId="77777777" w:rsidR="00380A0D" w:rsidRDefault="00380A0D" w:rsidP="00380A0D">
      <w:pPr>
        <w:pStyle w:val="ListParagraph"/>
        <w:ind w:left="2160"/>
        <w:contextualSpacing w:val="0"/>
      </w:pPr>
    </w:p>
    <w:p w14:paraId="13A88141" w14:textId="15F942D6" w:rsidR="006E0697" w:rsidRDefault="006E0697" w:rsidP="006E0697">
      <w:pPr>
        <w:pStyle w:val="ListParagraph"/>
        <w:numPr>
          <w:ilvl w:val="0"/>
          <w:numId w:val="1"/>
        </w:numPr>
        <w:contextualSpacing w:val="0"/>
      </w:pPr>
      <w:bookmarkStart w:id="1" w:name="_Hlk35078205"/>
      <w:r>
        <w:t xml:space="preserve">The Supremacy of Christ’s </w:t>
      </w:r>
      <w:r w:rsidR="00F10122">
        <w:t>Witness</w:t>
      </w:r>
      <w:r>
        <w:t xml:space="preserve"> (vv.32-35</w:t>
      </w:r>
      <w:r w:rsidR="00367512">
        <w:t xml:space="preserve">; cf. </w:t>
      </w:r>
      <w:r w:rsidR="00767A65">
        <w:t xml:space="preserve">3:11-13; </w:t>
      </w:r>
      <w:r w:rsidR="00367512">
        <w:t>Heb. 1:1-2)</w:t>
      </w:r>
    </w:p>
    <w:bookmarkEnd w:id="1"/>
    <w:p w14:paraId="5433C0AD" w14:textId="255063CE" w:rsidR="00380A0D" w:rsidRDefault="00380A0D" w:rsidP="00380A0D">
      <w:pPr>
        <w:pStyle w:val="ListParagraph"/>
        <w:numPr>
          <w:ilvl w:val="1"/>
          <w:numId w:val="1"/>
        </w:numPr>
        <w:contextualSpacing w:val="0"/>
      </w:pPr>
      <w:r>
        <w:t>Owing to His Eye-Witness Testimony (v.32)</w:t>
      </w:r>
    </w:p>
    <w:p w14:paraId="1811A317" w14:textId="77777777" w:rsidR="002C1D9C" w:rsidRDefault="002C1D9C" w:rsidP="002C1D9C">
      <w:pPr>
        <w:pStyle w:val="ListParagraph"/>
        <w:ind w:left="1440"/>
        <w:contextualSpacing w:val="0"/>
      </w:pPr>
    </w:p>
    <w:p w14:paraId="6073894F" w14:textId="77777777" w:rsidR="00380A0D" w:rsidRDefault="00380A0D" w:rsidP="00380A0D">
      <w:pPr>
        <w:pStyle w:val="ListParagraph"/>
        <w:numPr>
          <w:ilvl w:val="1"/>
          <w:numId w:val="1"/>
        </w:numPr>
        <w:contextualSpacing w:val="0"/>
      </w:pPr>
      <w:r>
        <w:t xml:space="preserve">Owing to </w:t>
      </w:r>
      <w:bookmarkStart w:id="2" w:name="_Hlk35080672"/>
      <w:r>
        <w:t xml:space="preserve">His Inseparable Connection with the Father </w:t>
      </w:r>
      <w:bookmarkEnd w:id="2"/>
      <w:r>
        <w:t>(vv.32b-34)</w:t>
      </w:r>
    </w:p>
    <w:p w14:paraId="4B677B15" w14:textId="78805A4F" w:rsidR="00380A0D" w:rsidRDefault="00380A0D" w:rsidP="00380A0D">
      <w:pPr>
        <w:pStyle w:val="ListParagraph"/>
        <w:numPr>
          <w:ilvl w:val="2"/>
          <w:numId w:val="1"/>
        </w:numPr>
        <w:contextualSpacing w:val="0"/>
      </w:pPr>
      <w:r>
        <w:t xml:space="preserve">The two responses to His testimony </w:t>
      </w:r>
      <w:r w:rsidR="00450D72">
        <w:t>(vv.32b-33a</w:t>
      </w:r>
      <w:r w:rsidR="00DE5D08">
        <w:t>; cf. 1:11-12; 3:20-21)</w:t>
      </w:r>
    </w:p>
    <w:p w14:paraId="69381A28" w14:textId="0229FA71" w:rsidR="00D709E1" w:rsidRDefault="00D709E1" w:rsidP="00D709E1">
      <w:pPr>
        <w:pStyle w:val="ListParagraph"/>
        <w:numPr>
          <w:ilvl w:val="3"/>
          <w:numId w:val="1"/>
        </w:numPr>
        <w:contextualSpacing w:val="0"/>
      </w:pPr>
      <w:r>
        <w:t>Most do not receive His testimony</w:t>
      </w:r>
      <w:r w:rsidR="00DE5D08">
        <w:t xml:space="preserve"> – “No one receives His testimony”</w:t>
      </w:r>
    </w:p>
    <w:p w14:paraId="7C6AFDB4" w14:textId="26D332FC" w:rsidR="00D709E1" w:rsidRDefault="00D709E1" w:rsidP="00D709E1">
      <w:pPr>
        <w:pStyle w:val="ListParagraph"/>
        <w:numPr>
          <w:ilvl w:val="3"/>
          <w:numId w:val="1"/>
        </w:numPr>
        <w:contextualSpacing w:val="0"/>
      </w:pPr>
      <w:r>
        <w:t>Some do receive His testimony</w:t>
      </w:r>
      <w:r w:rsidR="00DE5D08">
        <w:t xml:space="preserve"> – “The one who receives His testimony”</w:t>
      </w:r>
    </w:p>
    <w:p w14:paraId="5BE9B73C" w14:textId="49C79695" w:rsidR="00380A0D" w:rsidRDefault="00380A0D" w:rsidP="00380A0D">
      <w:pPr>
        <w:pStyle w:val="ListParagraph"/>
        <w:numPr>
          <w:ilvl w:val="2"/>
          <w:numId w:val="1"/>
        </w:numPr>
        <w:contextualSpacing w:val="0"/>
      </w:pPr>
      <w:r>
        <w:t>The responses to His testimony inevitably say something about God’s truthfulness</w:t>
      </w:r>
      <w:r w:rsidR="00DE5D08">
        <w:t xml:space="preserve"> (</w:t>
      </w:r>
      <w:r w:rsidR="002C1D9C">
        <w:t xml:space="preserve">vv.33b-34; </w:t>
      </w:r>
      <w:r w:rsidR="00DE5D08">
        <w:t xml:space="preserve">cf. </w:t>
      </w:r>
      <w:r w:rsidR="00DE5D08">
        <w:t>Jn. 12:44; 13:20; 1 Jn. 5:10</w:t>
      </w:r>
      <w:r w:rsidR="00DE5D08">
        <w:t>)</w:t>
      </w:r>
    </w:p>
    <w:p w14:paraId="30275423" w14:textId="1811CB17" w:rsidR="00380A0D" w:rsidRDefault="00DE5D08" w:rsidP="00380A0D">
      <w:pPr>
        <w:pStyle w:val="ListParagraph"/>
        <w:numPr>
          <w:ilvl w:val="3"/>
          <w:numId w:val="1"/>
        </w:numPr>
        <w:contextualSpacing w:val="0"/>
      </w:pPr>
      <w:r>
        <w:t>The Son</w:t>
      </w:r>
      <w:r w:rsidR="00380A0D">
        <w:t xml:space="preserve"> speaks God’s </w:t>
      </w:r>
      <w:r w:rsidR="002C1D9C">
        <w:t>w</w:t>
      </w:r>
      <w:r w:rsidR="00380A0D">
        <w:t xml:space="preserve">ords </w:t>
      </w:r>
      <w:r w:rsidR="002C1D9C">
        <w:t>(v.34a; cf. 8:28; 12:49-50)</w:t>
      </w:r>
    </w:p>
    <w:p w14:paraId="4E399005" w14:textId="27A60F3F" w:rsidR="002C1D9C" w:rsidRPr="002C1D9C" w:rsidRDefault="002C1D9C" w:rsidP="002C1D9C">
      <w:pPr>
        <w:pStyle w:val="ListParagraph"/>
        <w:ind w:left="2880"/>
        <w:contextualSpacing w:val="0"/>
        <w:rPr>
          <w:i/>
          <w:iCs/>
        </w:rPr>
      </w:pPr>
      <w:r w:rsidRPr="002C1D9C">
        <w:rPr>
          <w:i/>
          <w:iCs/>
        </w:rPr>
        <w:t>“Jesus so completely says and does all that God says and does, and only what God says and does (e.g. 5:19-30; 6:37-40; 8:2</w:t>
      </w:r>
      <w:r w:rsidR="00767A65">
        <w:rPr>
          <w:i/>
          <w:iCs/>
        </w:rPr>
        <w:t>8</w:t>
      </w:r>
      <w:r w:rsidRPr="002C1D9C">
        <w:rPr>
          <w:i/>
          <w:iCs/>
        </w:rPr>
        <w:t>), that to believe Jesus is to believe God. Conversely, not to believe Jesus is to call God a liar (cf. 12:44-50; 1 Jn. 5:10).”</w:t>
      </w:r>
      <w:r w:rsidRPr="002C1D9C">
        <w:rPr>
          <w:i/>
          <w:iCs/>
        </w:rPr>
        <w:t xml:space="preserve"> (D.A. Carson)</w:t>
      </w:r>
    </w:p>
    <w:p w14:paraId="6FD3864C" w14:textId="7DA8F6F6" w:rsidR="00380A0D" w:rsidRDefault="00DE5D08" w:rsidP="00380A0D">
      <w:pPr>
        <w:pStyle w:val="ListParagraph"/>
        <w:numPr>
          <w:ilvl w:val="3"/>
          <w:numId w:val="1"/>
        </w:numPr>
        <w:contextualSpacing w:val="0"/>
      </w:pPr>
      <w:r>
        <w:t>The Son</w:t>
      </w:r>
      <w:r w:rsidR="00380A0D">
        <w:t xml:space="preserve"> possess</w:t>
      </w:r>
      <w:r>
        <w:t>es</w:t>
      </w:r>
      <w:r w:rsidR="00380A0D">
        <w:t xml:space="preserve"> God’s Spirit</w:t>
      </w:r>
      <w:r w:rsidR="002C1D9C">
        <w:t xml:space="preserve"> without measure</w:t>
      </w:r>
      <w:r w:rsidR="00380A0D">
        <w:t xml:space="preserve"> </w:t>
      </w:r>
      <w:r w:rsidR="002C1D9C">
        <w:t>(v.34b)</w:t>
      </w:r>
    </w:p>
    <w:p w14:paraId="561731C1" w14:textId="5A4E4A41" w:rsidR="002C1D9C" w:rsidRPr="002C1D9C" w:rsidRDefault="002C1D9C" w:rsidP="002C1D9C">
      <w:pPr>
        <w:pStyle w:val="ListParagraph"/>
        <w:ind w:left="2880"/>
        <w:contextualSpacing w:val="0"/>
        <w:rPr>
          <w:i/>
          <w:iCs/>
        </w:rPr>
      </w:pPr>
      <w:r w:rsidRPr="002C1D9C">
        <w:rPr>
          <w:i/>
          <w:iCs/>
        </w:rPr>
        <w:t>“Throughout redemptive history, God spoke to his people through accredited messengers. Each received that measure of the Spirit that was required for his or her assigned task.”</w:t>
      </w:r>
      <w:r w:rsidRPr="002C1D9C">
        <w:rPr>
          <w:i/>
          <w:iCs/>
        </w:rPr>
        <w:t xml:space="preserve"> (D.A. Carson)</w:t>
      </w:r>
    </w:p>
    <w:p w14:paraId="0883842C" w14:textId="794BC95A" w:rsidR="002C1D9C" w:rsidRDefault="002C1D9C" w:rsidP="002C1D9C">
      <w:pPr>
        <w:pStyle w:val="ListParagraph"/>
        <w:ind w:left="2880"/>
        <w:contextualSpacing w:val="0"/>
        <w:rPr>
          <w:i/>
          <w:iCs/>
        </w:rPr>
      </w:pPr>
      <w:r w:rsidRPr="002C1D9C">
        <w:rPr>
          <w:i/>
          <w:iCs/>
        </w:rPr>
        <w:t>“Even the Holy Spirit resting on the prophets does so by weight, one prophet speaking one book of prophecy and another speaking two books.”</w:t>
      </w:r>
      <w:r w:rsidRPr="002C1D9C">
        <w:rPr>
          <w:i/>
          <w:iCs/>
        </w:rPr>
        <w:t xml:space="preserve"> (</w:t>
      </w:r>
      <w:r w:rsidRPr="002C1D9C">
        <w:rPr>
          <w:i/>
          <w:iCs/>
        </w:rPr>
        <w:t>Midrash</w:t>
      </w:r>
      <w:r>
        <w:rPr>
          <w:i/>
          <w:iCs/>
        </w:rPr>
        <w:t>,</w:t>
      </w:r>
      <w:r w:rsidRPr="002C1D9C">
        <w:rPr>
          <w:i/>
          <w:iCs/>
        </w:rPr>
        <w:t xml:space="preserve"> Lev</w:t>
      </w:r>
      <w:r>
        <w:rPr>
          <w:i/>
          <w:iCs/>
        </w:rPr>
        <w:t>iticus</w:t>
      </w:r>
      <w:r w:rsidRPr="002C1D9C">
        <w:rPr>
          <w:i/>
          <w:iCs/>
        </w:rPr>
        <w:t xml:space="preserve"> Rab</w:t>
      </w:r>
      <w:r>
        <w:rPr>
          <w:i/>
          <w:iCs/>
        </w:rPr>
        <w:t>bah</w:t>
      </w:r>
      <w:r w:rsidRPr="002C1D9C">
        <w:rPr>
          <w:i/>
          <w:iCs/>
        </w:rPr>
        <w:t xml:space="preserve"> 15.2</w:t>
      </w:r>
      <w:r>
        <w:rPr>
          <w:i/>
          <w:iCs/>
        </w:rPr>
        <w:t>)</w:t>
      </w:r>
    </w:p>
    <w:p w14:paraId="5472E58E" w14:textId="56DD5A97" w:rsidR="002C1D9C" w:rsidRPr="002C1D9C" w:rsidRDefault="002C1D9C" w:rsidP="002C1D9C">
      <w:pPr>
        <w:rPr>
          <w:i/>
          <w:iCs/>
        </w:rPr>
      </w:pPr>
    </w:p>
    <w:p w14:paraId="04E9432D" w14:textId="77777777" w:rsidR="002C1D9C" w:rsidRPr="002C1D9C" w:rsidRDefault="002C1D9C" w:rsidP="002C1D9C">
      <w:pPr>
        <w:pStyle w:val="ListParagraph"/>
        <w:ind w:left="2880"/>
        <w:contextualSpacing w:val="0"/>
        <w:rPr>
          <w:i/>
          <w:iCs/>
        </w:rPr>
      </w:pPr>
    </w:p>
    <w:p w14:paraId="20D40BAB" w14:textId="24D05491" w:rsidR="00380A0D" w:rsidRDefault="00380A0D" w:rsidP="00380A0D">
      <w:pPr>
        <w:pStyle w:val="ListParagraph"/>
        <w:numPr>
          <w:ilvl w:val="1"/>
          <w:numId w:val="1"/>
        </w:numPr>
        <w:contextualSpacing w:val="0"/>
      </w:pPr>
      <w:r>
        <w:lastRenderedPageBreak/>
        <w:t xml:space="preserve">Owing to the Father’s Gift </w:t>
      </w:r>
      <w:r w:rsidR="00DD6238">
        <w:t xml:space="preserve">of All Things </w:t>
      </w:r>
      <w:r>
        <w:t>(v.35)</w:t>
      </w:r>
    </w:p>
    <w:p w14:paraId="19A8E386" w14:textId="28A3A287" w:rsidR="00DD6238" w:rsidRDefault="00DD6238" w:rsidP="00DD6238">
      <w:pPr>
        <w:pStyle w:val="ListParagraph"/>
        <w:numPr>
          <w:ilvl w:val="2"/>
          <w:numId w:val="1"/>
        </w:numPr>
        <w:contextualSpacing w:val="0"/>
      </w:pPr>
      <w:r>
        <w:t xml:space="preserve">Into the Son’s hand – His dominion and authority (cf. </w:t>
      </w:r>
      <w:r>
        <w:t>5:26-27; 11:22; 13:3; 17:2; 17:24</w:t>
      </w:r>
      <w:bookmarkStart w:id="3" w:name="_GoBack"/>
      <w:bookmarkEnd w:id="3"/>
      <w:r>
        <w:t>)</w:t>
      </w:r>
    </w:p>
    <w:p w14:paraId="6C9E288A" w14:textId="15420FAE" w:rsidR="00DD6238" w:rsidRDefault="00DD6238" w:rsidP="00DD6238">
      <w:pPr>
        <w:pStyle w:val="ListParagraph"/>
        <w:numPr>
          <w:ilvl w:val="2"/>
          <w:numId w:val="1"/>
        </w:numPr>
        <w:contextualSpacing w:val="0"/>
      </w:pPr>
      <w:r>
        <w:t>From the Father’s profound love for the Son (</w:t>
      </w:r>
      <w:r>
        <w:t>5:20; 8:29; 10:17; 15:9-10; 17:24</w:t>
      </w:r>
      <w:r>
        <w:t>)</w:t>
      </w:r>
    </w:p>
    <w:p w14:paraId="2260375E" w14:textId="41D0223A" w:rsidR="00614E43" w:rsidRPr="00614E43" w:rsidRDefault="00614E43" w:rsidP="00614E43">
      <w:pPr>
        <w:pStyle w:val="ListParagraph"/>
        <w:ind w:left="2160"/>
        <w:contextualSpacing w:val="0"/>
        <w:rPr>
          <w:i/>
          <w:iCs/>
        </w:rPr>
      </w:pPr>
      <w:r w:rsidRPr="00614E43">
        <w:rPr>
          <w:i/>
          <w:iCs/>
        </w:rPr>
        <w:t>“</w:t>
      </w:r>
      <w:r w:rsidRPr="00614E43">
        <w:rPr>
          <w:i/>
          <w:iCs/>
        </w:rPr>
        <w:t>If the Father gave up even the Son whom he loved above all to death on a cross, how great must be his love for us and for our world! Just as the Spirit was God’s immeasurable gift to his Son, so the Son is God’s immeasurable gift to the world.”</w:t>
      </w:r>
      <w:r w:rsidRPr="00614E43">
        <w:rPr>
          <w:i/>
          <w:iCs/>
        </w:rPr>
        <w:t xml:space="preserve"> (Michaels)</w:t>
      </w:r>
    </w:p>
    <w:p w14:paraId="70C1FF9E" w14:textId="77777777" w:rsidR="00400866" w:rsidRDefault="00400866" w:rsidP="00380A0D"/>
    <w:p w14:paraId="01BA3576" w14:textId="48D2EB28" w:rsidR="006E0697" w:rsidRDefault="006E0697" w:rsidP="006E0697">
      <w:pPr>
        <w:pStyle w:val="ListParagraph"/>
        <w:numPr>
          <w:ilvl w:val="0"/>
          <w:numId w:val="1"/>
        </w:numPr>
        <w:contextualSpacing w:val="0"/>
      </w:pPr>
      <w:bookmarkStart w:id="4" w:name="_Hlk35094738"/>
      <w:r>
        <w:t xml:space="preserve">The Supremacy of Christ’s Centrality </w:t>
      </w:r>
      <w:bookmarkEnd w:id="4"/>
      <w:r>
        <w:t>(v.36)</w:t>
      </w:r>
    </w:p>
    <w:p w14:paraId="5E943160" w14:textId="767FF66E" w:rsidR="00614E43" w:rsidRDefault="00830AF7" w:rsidP="00614E43">
      <w:pPr>
        <w:pStyle w:val="ListParagraph"/>
        <w:numPr>
          <w:ilvl w:val="1"/>
          <w:numId w:val="1"/>
        </w:numPr>
        <w:contextualSpacing w:val="0"/>
      </w:pPr>
      <w:r>
        <w:t>Man’s</w:t>
      </w:r>
      <w:r w:rsidR="00614E43">
        <w:t xml:space="preserve"> Two</w:t>
      </w:r>
      <w:r>
        <w:t xml:space="preserve"> Possible</w:t>
      </w:r>
      <w:r w:rsidR="00614E43">
        <w:t xml:space="preserve"> Responses </w:t>
      </w:r>
      <w:r w:rsidR="009800F3">
        <w:t xml:space="preserve">Center Around Him </w:t>
      </w:r>
    </w:p>
    <w:p w14:paraId="68ABEEC6" w14:textId="189F5196" w:rsidR="009800F3" w:rsidRDefault="009800F3" w:rsidP="009800F3">
      <w:pPr>
        <w:pStyle w:val="ListParagraph"/>
        <w:numPr>
          <w:ilvl w:val="2"/>
          <w:numId w:val="1"/>
        </w:numPr>
        <w:contextualSpacing w:val="0"/>
      </w:pPr>
      <w:r>
        <w:t>Faith</w:t>
      </w:r>
      <w:r w:rsidR="002C1D9C">
        <w:t xml:space="preserve"> – “The one who </w:t>
      </w:r>
      <w:r w:rsidR="002C1D9C" w:rsidRPr="002C1D9C">
        <w:rPr>
          <w:i/>
          <w:iCs/>
        </w:rPr>
        <w:t>believes</w:t>
      </w:r>
      <w:r w:rsidR="002C1D9C">
        <w:t>”</w:t>
      </w:r>
    </w:p>
    <w:p w14:paraId="5BD48BF8" w14:textId="30E7E086" w:rsidR="009800F3" w:rsidRDefault="009800F3" w:rsidP="009800F3">
      <w:pPr>
        <w:pStyle w:val="ListParagraph"/>
        <w:numPr>
          <w:ilvl w:val="2"/>
          <w:numId w:val="1"/>
        </w:numPr>
        <w:contextualSpacing w:val="0"/>
      </w:pPr>
      <w:r>
        <w:t xml:space="preserve">Disobedience </w:t>
      </w:r>
      <w:r w:rsidR="002C1D9C">
        <w:t xml:space="preserve">– “The one who </w:t>
      </w:r>
      <w:r w:rsidR="002C1D9C" w:rsidRPr="002C1D9C">
        <w:rPr>
          <w:i/>
          <w:iCs/>
        </w:rPr>
        <w:t>disobeys</w:t>
      </w:r>
      <w:r w:rsidR="002C1D9C">
        <w:t>” (cf. Jn. 6:29)</w:t>
      </w:r>
    </w:p>
    <w:p w14:paraId="5D29BD4F" w14:textId="77777777" w:rsidR="002C1D9C" w:rsidRDefault="002C1D9C" w:rsidP="002C1D9C">
      <w:pPr>
        <w:pStyle w:val="ListParagraph"/>
        <w:ind w:left="2160"/>
        <w:contextualSpacing w:val="0"/>
      </w:pPr>
    </w:p>
    <w:p w14:paraId="7A74C3C7" w14:textId="668BA8F4" w:rsidR="00614E43" w:rsidRDefault="00830AF7" w:rsidP="00614E43">
      <w:pPr>
        <w:pStyle w:val="ListParagraph"/>
        <w:numPr>
          <w:ilvl w:val="1"/>
          <w:numId w:val="1"/>
        </w:numPr>
        <w:contextualSpacing w:val="0"/>
      </w:pPr>
      <w:r>
        <w:t>Man’s</w:t>
      </w:r>
      <w:r w:rsidR="00614E43">
        <w:t xml:space="preserve"> Two </w:t>
      </w:r>
      <w:r>
        <w:t xml:space="preserve">Possible </w:t>
      </w:r>
      <w:r w:rsidR="00614E43">
        <w:t>Outcomes</w:t>
      </w:r>
      <w:r w:rsidR="009800F3">
        <w:t xml:space="preserve"> Center Around Him </w:t>
      </w:r>
    </w:p>
    <w:p w14:paraId="6AF106C1" w14:textId="495463BD" w:rsidR="009800F3" w:rsidRDefault="009800F3" w:rsidP="009800F3">
      <w:pPr>
        <w:pStyle w:val="ListParagraph"/>
        <w:numPr>
          <w:ilvl w:val="2"/>
          <w:numId w:val="1"/>
        </w:numPr>
        <w:contextualSpacing w:val="0"/>
      </w:pPr>
      <w:r>
        <w:t>Eternal Life</w:t>
      </w:r>
      <w:r w:rsidR="00830AF7">
        <w:t>, begun now to be consummated in the future</w:t>
      </w:r>
    </w:p>
    <w:p w14:paraId="123C12E9" w14:textId="1159DDC8" w:rsidR="00830AF7" w:rsidRDefault="00830AF7" w:rsidP="009800F3">
      <w:pPr>
        <w:pStyle w:val="ListParagraph"/>
        <w:numPr>
          <w:ilvl w:val="2"/>
          <w:numId w:val="1"/>
        </w:numPr>
        <w:contextualSpacing w:val="0"/>
      </w:pPr>
      <w:r>
        <w:t xml:space="preserve">God’s wrath, remaining now to be consummated in the future </w:t>
      </w:r>
    </w:p>
    <w:p w14:paraId="3F9DF236" w14:textId="13E69516" w:rsidR="00830AF7" w:rsidRPr="00830AF7" w:rsidRDefault="00830AF7" w:rsidP="00830AF7">
      <w:pPr>
        <w:pStyle w:val="ListParagraph"/>
        <w:ind w:left="2160"/>
        <w:contextualSpacing w:val="0"/>
        <w:rPr>
          <w:i/>
          <w:iCs/>
        </w:rPr>
      </w:pPr>
      <w:r w:rsidRPr="00830AF7">
        <w:rPr>
          <w:i/>
          <w:iCs/>
        </w:rPr>
        <w:t>“The age to come can no longer be set off absolutely from the present age, now that Jesus the Messiah has come. Believers already enjoy the eternal life that will be consummated in the resurrection of their bodies at the Parousia; unbelievers stand under the looming wrath of God that will be consummated in their resurrection and condemnation.”</w:t>
      </w:r>
      <w:r w:rsidRPr="00830AF7">
        <w:rPr>
          <w:i/>
          <w:iCs/>
        </w:rPr>
        <w:t xml:space="preserve"> (D.A. Carson)</w:t>
      </w:r>
    </w:p>
    <w:p w14:paraId="237715D0" w14:textId="2C1E3088" w:rsidR="00380A0D" w:rsidRDefault="00380A0D" w:rsidP="00380A0D"/>
    <w:p w14:paraId="21CB3C27" w14:textId="0E055134" w:rsidR="006E0697" w:rsidRPr="006E0697" w:rsidRDefault="006E0697" w:rsidP="006E0697">
      <w:pPr>
        <w:tabs>
          <w:tab w:val="left" w:pos="1540"/>
        </w:tabs>
      </w:pPr>
    </w:p>
    <w:sectPr w:rsidR="006E0697" w:rsidRPr="006E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DCB"/>
    <w:multiLevelType w:val="hybridMultilevel"/>
    <w:tmpl w:val="36B41F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2D18"/>
    <w:multiLevelType w:val="hybridMultilevel"/>
    <w:tmpl w:val="629A34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E767F3"/>
    <w:multiLevelType w:val="hybridMultilevel"/>
    <w:tmpl w:val="5A18B4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93F77"/>
    <w:multiLevelType w:val="hybridMultilevel"/>
    <w:tmpl w:val="F9B433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92"/>
    <w:rsid w:val="000341E4"/>
    <w:rsid w:val="00055D84"/>
    <w:rsid w:val="000E2092"/>
    <w:rsid w:val="00203CBE"/>
    <w:rsid w:val="0020575E"/>
    <w:rsid w:val="002C1D9C"/>
    <w:rsid w:val="00367512"/>
    <w:rsid w:val="00380A0D"/>
    <w:rsid w:val="003A559A"/>
    <w:rsid w:val="003B686B"/>
    <w:rsid w:val="00400866"/>
    <w:rsid w:val="00450D72"/>
    <w:rsid w:val="00614E43"/>
    <w:rsid w:val="006A05B6"/>
    <w:rsid w:val="006E0697"/>
    <w:rsid w:val="00767A65"/>
    <w:rsid w:val="00830AF7"/>
    <w:rsid w:val="009800F3"/>
    <w:rsid w:val="009A6880"/>
    <w:rsid w:val="009C5F65"/>
    <w:rsid w:val="00B32733"/>
    <w:rsid w:val="00CE371F"/>
    <w:rsid w:val="00D709E1"/>
    <w:rsid w:val="00DC26E4"/>
    <w:rsid w:val="00DD6238"/>
    <w:rsid w:val="00DE5D08"/>
    <w:rsid w:val="00E0187E"/>
    <w:rsid w:val="00F10122"/>
    <w:rsid w:val="00FF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E16F"/>
  <w15:chartTrackingRefBased/>
  <w15:docId w15:val="{0E4BD024-052A-43DC-98B9-DC67468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10</cp:revision>
  <cp:lastPrinted>2020-03-14T21:52:00Z</cp:lastPrinted>
  <dcterms:created xsi:type="dcterms:W3CDTF">2020-03-13T12:48:00Z</dcterms:created>
  <dcterms:modified xsi:type="dcterms:W3CDTF">2020-03-15T00:47:00Z</dcterms:modified>
</cp:coreProperties>
</file>